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47BAF" w14:textId="6F0DE1BA" w:rsidR="001C3B05" w:rsidRPr="004748EB" w:rsidRDefault="00632A7D" w:rsidP="00773590">
      <w:pPr>
        <w:jc w:val="center"/>
        <w:rPr>
          <w:b/>
          <w:bCs/>
          <w:sz w:val="28"/>
          <w:lang w:val="en-US"/>
        </w:rPr>
      </w:pPr>
      <w:r w:rsidRPr="004748EB">
        <w:rPr>
          <w:b/>
          <w:bCs/>
          <w:sz w:val="28"/>
          <w:lang w:val="en-US"/>
        </w:rPr>
        <w:t>CERTIFICATE COURSE ON RESOLUTION OF STRESSED ASSETS WITH SPECIAL EMPHASIS ON INSOLVENCY AND BANKRUPTCY CODE,2016 FOR BANKERS</w:t>
      </w:r>
    </w:p>
    <w:tbl>
      <w:tblPr>
        <w:tblW w:w="11340" w:type="dxa"/>
        <w:tblInd w:w="-1139" w:type="dxa"/>
        <w:tblLook w:val="04A0" w:firstRow="1" w:lastRow="0" w:firstColumn="1" w:lastColumn="0" w:noHBand="0" w:noVBand="1"/>
      </w:tblPr>
      <w:tblGrid>
        <w:gridCol w:w="1134"/>
        <w:gridCol w:w="10206"/>
      </w:tblGrid>
      <w:tr w:rsidR="00773590" w:rsidRPr="00773590" w14:paraId="6FCF1161" w14:textId="77777777" w:rsidTr="00773590">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199379" w14:textId="1D218DE5" w:rsidR="00773590" w:rsidRPr="00773590" w:rsidRDefault="00773590" w:rsidP="00773590">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10206" w:type="dxa"/>
            <w:tcBorders>
              <w:top w:val="single" w:sz="4" w:space="0" w:color="auto"/>
              <w:left w:val="nil"/>
              <w:bottom w:val="single" w:sz="4" w:space="0" w:color="auto"/>
              <w:right w:val="single" w:sz="4" w:space="0" w:color="auto"/>
            </w:tcBorders>
            <w:shd w:val="clear" w:color="auto" w:fill="auto"/>
            <w:vAlign w:val="center"/>
          </w:tcPr>
          <w:p w14:paraId="0F3B44E7" w14:textId="2BCCA5AC" w:rsidR="00773590" w:rsidRPr="00773590" w:rsidRDefault="00773590" w:rsidP="00773590">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6E7264" w:rsidRPr="00773590" w14:paraId="1AFACE9E" w14:textId="77777777" w:rsidTr="00DC018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5E656" w14:textId="29C6E3CA" w:rsidR="006E7264" w:rsidRPr="006E7264" w:rsidRDefault="006E7264" w:rsidP="006E7264">
            <w:pPr>
              <w:spacing w:after="0" w:line="240" w:lineRule="auto"/>
              <w:jc w:val="center"/>
              <w:rPr>
                <w:rFonts w:ascii="Calibri" w:eastAsia="Times New Roman" w:hAnsi="Calibri" w:cs="Calibri"/>
                <w:bCs/>
                <w:color w:val="000000"/>
                <w:kern w:val="0"/>
                <w:sz w:val="24"/>
                <w:szCs w:val="24"/>
                <w:lang w:eastAsia="en-IN"/>
                <w14:ligatures w14:val="none"/>
              </w:rPr>
            </w:pPr>
            <w:r w:rsidRPr="006E7264">
              <w:rPr>
                <w:rFonts w:ascii="Calibri" w:eastAsia="Times New Roman" w:hAnsi="Calibri" w:cs="Calibri"/>
                <w:bCs/>
                <w:color w:val="000000"/>
                <w:kern w:val="0"/>
                <w:sz w:val="24"/>
                <w:szCs w:val="24"/>
                <w:lang w:eastAsia="en-IN"/>
                <w14:ligatures w14:val="none"/>
              </w:rPr>
              <w:t>1</w:t>
            </w:r>
          </w:p>
        </w:tc>
        <w:tc>
          <w:tcPr>
            <w:tcW w:w="10206" w:type="dxa"/>
            <w:tcBorders>
              <w:top w:val="single" w:sz="4" w:space="0" w:color="auto"/>
              <w:left w:val="nil"/>
              <w:bottom w:val="single" w:sz="4" w:space="0" w:color="auto"/>
              <w:right w:val="single" w:sz="4" w:space="0" w:color="auto"/>
            </w:tcBorders>
            <w:shd w:val="clear" w:color="auto" w:fill="auto"/>
          </w:tcPr>
          <w:p w14:paraId="11523CFF" w14:textId="4569EEAD" w:rsidR="006E7264" w:rsidRDefault="006E7264" w:rsidP="006E7264">
            <w:pPr>
              <w:spacing w:after="0" w:line="240" w:lineRule="auto"/>
              <w:jc w:val="both"/>
              <w:rPr>
                <w:rFonts w:ascii="Calibri" w:eastAsia="Times New Roman" w:hAnsi="Calibri" w:cs="Calibri"/>
                <w:b/>
                <w:bCs/>
                <w:color w:val="000000"/>
                <w:kern w:val="0"/>
                <w:sz w:val="24"/>
                <w:szCs w:val="24"/>
                <w:lang w:eastAsia="en-IN"/>
                <w14:ligatures w14:val="none"/>
              </w:rPr>
            </w:pPr>
            <w:r w:rsidRPr="0080378F">
              <w:t>Responsible Lending Conduct – Release of Movable / Immovable Property Documents on Repayment/ Settlement of Personal Loans</w:t>
            </w:r>
          </w:p>
        </w:tc>
      </w:tr>
      <w:tr w:rsidR="006E7264" w:rsidRPr="00773590" w14:paraId="14895043" w14:textId="77777777" w:rsidTr="00DC018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AE478" w14:textId="4E1D915A" w:rsidR="006E7264" w:rsidRPr="006E7264" w:rsidRDefault="006E7264" w:rsidP="006E7264">
            <w:pPr>
              <w:spacing w:after="0" w:line="240" w:lineRule="auto"/>
              <w:jc w:val="center"/>
              <w:rPr>
                <w:rFonts w:ascii="Calibri" w:eastAsia="Times New Roman" w:hAnsi="Calibri" w:cs="Calibri"/>
                <w:bCs/>
                <w:color w:val="000000"/>
                <w:kern w:val="0"/>
                <w:sz w:val="24"/>
                <w:szCs w:val="24"/>
                <w:lang w:eastAsia="en-IN"/>
                <w14:ligatures w14:val="none"/>
              </w:rPr>
            </w:pPr>
            <w:r w:rsidRPr="006E7264">
              <w:rPr>
                <w:rFonts w:ascii="Calibri" w:eastAsia="Times New Roman" w:hAnsi="Calibri" w:cs="Calibri"/>
                <w:bCs/>
                <w:color w:val="000000"/>
                <w:kern w:val="0"/>
                <w:sz w:val="24"/>
                <w:szCs w:val="24"/>
                <w:lang w:eastAsia="en-IN"/>
                <w14:ligatures w14:val="none"/>
              </w:rPr>
              <w:t>2</w:t>
            </w:r>
          </w:p>
        </w:tc>
        <w:tc>
          <w:tcPr>
            <w:tcW w:w="10206" w:type="dxa"/>
            <w:tcBorders>
              <w:top w:val="single" w:sz="4" w:space="0" w:color="auto"/>
              <w:left w:val="nil"/>
              <w:bottom w:val="single" w:sz="4" w:space="0" w:color="auto"/>
              <w:right w:val="single" w:sz="4" w:space="0" w:color="auto"/>
            </w:tcBorders>
            <w:shd w:val="clear" w:color="auto" w:fill="auto"/>
          </w:tcPr>
          <w:p w14:paraId="07DBC10A" w14:textId="0BF63B91" w:rsidR="006E7264" w:rsidRDefault="006E7264" w:rsidP="006E7264">
            <w:pPr>
              <w:spacing w:after="0" w:line="240" w:lineRule="auto"/>
              <w:jc w:val="both"/>
              <w:rPr>
                <w:rFonts w:ascii="Calibri" w:eastAsia="Times New Roman" w:hAnsi="Calibri" w:cs="Calibri"/>
                <w:b/>
                <w:bCs/>
                <w:color w:val="000000"/>
                <w:kern w:val="0"/>
                <w:sz w:val="24"/>
                <w:szCs w:val="24"/>
                <w:lang w:eastAsia="en-IN"/>
                <w14:ligatures w14:val="none"/>
              </w:rPr>
            </w:pPr>
            <w:r w:rsidRPr="0080378F">
              <w:t xml:space="preserve">PM </w:t>
            </w:r>
            <w:proofErr w:type="spellStart"/>
            <w:r w:rsidRPr="0080378F">
              <w:t>Vishwakarma</w:t>
            </w:r>
            <w:proofErr w:type="spellEnd"/>
            <w:r w:rsidRPr="0080378F">
              <w:t xml:space="preserve"> Scheme</w:t>
            </w:r>
          </w:p>
        </w:tc>
      </w:tr>
      <w:tr w:rsidR="006E7264" w:rsidRPr="00773590" w14:paraId="456AB5A2" w14:textId="77777777" w:rsidTr="00DC018E">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E4CA0" w14:textId="5F5E02C9" w:rsidR="006E7264" w:rsidRPr="006E7264" w:rsidRDefault="006E7264" w:rsidP="006E7264">
            <w:pPr>
              <w:spacing w:after="0" w:line="240" w:lineRule="auto"/>
              <w:jc w:val="center"/>
              <w:rPr>
                <w:rFonts w:ascii="Calibri" w:eastAsia="Times New Roman" w:hAnsi="Calibri" w:cs="Calibri"/>
                <w:bCs/>
                <w:color w:val="000000"/>
                <w:kern w:val="0"/>
                <w:sz w:val="24"/>
                <w:szCs w:val="24"/>
                <w:lang w:eastAsia="en-IN"/>
                <w14:ligatures w14:val="none"/>
              </w:rPr>
            </w:pPr>
            <w:r w:rsidRPr="006E7264">
              <w:rPr>
                <w:rFonts w:ascii="Calibri" w:eastAsia="Times New Roman" w:hAnsi="Calibri" w:cs="Calibri"/>
                <w:bCs/>
                <w:color w:val="000000"/>
                <w:kern w:val="0"/>
                <w:sz w:val="24"/>
                <w:szCs w:val="24"/>
                <w:lang w:eastAsia="en-IN"/>
                <w14:ligatures w14:val="none"/>
              </w:rPr>
              <w:t>3</w:t>
            </w:r>
          </w:p>
        </w:tc>
        <w:tc>
          <w:tcPr>
            <w:tcW w:w="10206" w:type="dxa"/>
            <w:tcBorders>
              <w:top w:val="single" w:sz="4" w:space="0" w:color="auto"/>
              <w:left w:val="nil"/>
              <w:bottom w:val="single" w:sz="4" w:space="0" w:color="auto"/>
              <w:right w:val="single" w:sz="4" w:space="0" w:color="auto"/>
            </w:tcBorders>
            <w:shd w:val="clear" w:color="auto" w:fill="auto"/>
          </w:tcPr>
          <w:p w14:paraId="626E882B" w14:textId="0057EB04" w:rsidR="006E7264" w:rsidRDefault="006E7264" w:rsidP="006E7264">
            <w:pPr>
              <w:spacing w:after="0" w:line="240" w:lineRule="auto"/>
              <w:jc w:val="both"/>
              <w:rPr>
                <w:rFonts w:ascii="Calibri" w:eastAsia="Times New Roman" w:hAnsi="Calibri" w:cs="Calibri"/>
                <w:b/>
                <w:bCs/>
                <w:color w:val="000000"/>
                <w:kern w:val="0"/>
                <w:sz w:val="24"/>
                <w:szCs w:val="24"/>
                <w:lang w:eastAsia="en-IN"/>
                <w14:ligatures w14:val="none"/>
              </w:rPr>
            </w:pPr>
            <w:r w:rsidRPr="0080378F">
              <w:t>Display of information - Secured assets possessed under the SARFAESI Act, 2002</w:t>
            </w:r>
          </w:p>
        </w:tc>
      </w:tr>
    </w:tbl>
    <w:p w14:paraId="4D03C283" w14:textId="77777777" w:rsidR="00773590" w:rsidRDefault="00773590" w:rsidP="00773590">
      <w:pPr>
        <w:rPr>
          <w:b/>
          <w:bCs/>
          <w:lang w:val="en-US"/>
        </w:rPr>
      </w:pPr>
    </w:p>
    <w:p w14:paraId="6791AF29" w14:textId="77777777" w:rsidR="0008128F" w:rsidRDefault="0008128F" w:rsidP="00773590">
      <w:pPr>
        <w:rPr>
          <w:b/>
          <w:bCs/>
          <w:lang w:val="en-US"/>
        </w:rPr>
      </w:pPr>
    </w:p>
    <w:p w14:paraId="1993F9DB" w14:textId="0EC17878" w:rsidR="001F0A2C" w:rsidRDefault="001F0A2C" w:rsidP="00773590">
      <w:pPr>
        <w:rPr>
          <w:b/>
          <w:bCs/>
          <w:lang w:val="en-US"/>
        </w:rPr>
      </w:pPr>
      <w:bookmarkStart w:id="0" w:name="_GoBack"/>
      <w:bookmarkEnd w:id="0"/>
    </w:p>
    <w:p w14:paraId="6ECE170B" w14:textId="7356FAC0" w:rsidR="006E7264" w:rsidRDefault="006E7264" w:rsidP="00773590">
      <w:pPr>
        <w:rPr>
          <w:b/>
          <w:bCs/>
          <w:lang w:val="en-US"/>
        </w:rPr>
      </w:pPr>
    </w:p>
    <w:p w14:paraId="6ADE9E65" w14:textId="796F7243" w:rsidR="006E7264" w:rsidRDefault="006E7264" w:rsidP="00773590">
      <w:pPr>
        <w:rPr>
          <w:b/>
          <w:bCs/>
          <w:lang w:val="en-US"/>
        </w:rPr>
      </w:pPr>
    </w:p>
    <w:p w14:paraId="437F71FF" w14:textId="0B450EA5" w:rsidR="006E7264" w:rsidRDefault="006E7264" w:rsidP="00773590">
      <w:pPr>
        <w:rPr>
          <w:b/>
          <w:bCs/>
          <w:lang w:val="en-US"/>
        </w:rPr>
      </w:pPr>
    </w:p>
    <w:p w14:paraId="734F7C99" w14:textId="4B6BDD50" w:rsidR="006E7264" w:rsidRDefault="006E7264" w:rsidP="00773590">
      <w:pPr>
        <w:rPr>
          <w:b/>
          <w:bCs/>
          <w:lang w:val="en-US"/>
        </w:rPr>
      </w:pPr>
    </w:p>
    <w:p w14:paraId="041616EA" w14:textId="5E79C21B" w:rsidR="006E7264" w:rsidRDefault="006E7264" w:rsidP="00773590">
      <w:pPr>
        <w:rPr>
          <w:b/>
          <w:bCs/>
          <w:lang w:val="en-US"/>
        </w:rPr>
      </w:pPr>
    </w:p>
    <w:p w14:paraId="0018815F" w14:textId="4727BAC8" w:rsidR="006E7264" w:rsidRDefault="006E7264" w:rsidP="00773590">
      <w:pPr>
        <w:rPr>
          <w:b/>
          <w:bCs/>
          <w:lang w:val="en-US"/>
        </w:rPr>
      </w:pPr>
    </w:p>
    <w:p w14:paraId="5A355702" w14:textId="4B57D2B9" w:rsidR="006E7264" w:rsidRDefault="006E7264" w:rsidP="00773590">
      <w:pPr>
        <w:rPr>
          <w:b/>
          <w:bCs/>
          <w:lang w:val="en-US"/>
        </w:rPr>
      </w:pPr>
    </w:p>
    <w:p w14:paraId="033BEBBC" w14:textId="2CCF4DAF" w:rsidR="006E7264" w:rsidRDefault="006E7264" w:rsidP="00773590">
      <w:pPr>
        <w:rPr>
          <w:b/>
          <w:bCs/>
          <w:lang w:val="en-US"/>
        </w:rPr>
      </w:pPr>
    </w:p>
    <w:p w14:paraId="27E409DF" w14:textId="725B6B94" w:rsidR="006E7264" w:rsidRDefault="006E7264" w:rsidP="00773590">
      <w:pPr>
        <w:rPr>
          <w:b/>
          <w:bCs/>
          <w:lang w:val="en-US"/>
        </w:rPr>
      </w:pPr>
    </w:p>
    <w:p w14:paraId="383AF61E" w14:textId="49009F5C" w:rsidR="006E7264" w:rsidRDefault="006E7264" w:rsidP="00773590">
      <w:pPr>
        <w:rPr>
          <w:b/>
          <w:bCs/>
          <w:lang w:val="en-US"/>
        </w:rPr>
      </w:pPr>
    </w:p>
    <w:p w14:paraId="37EE6AAF" w14:textId="507F8261" w:rsidR="006E7264" w:rsidRDefault="006E7264" w:rsidP="00773590">
      <w:pPr>
        <w:rPr>
          <w:b/>
          <w:bCs/>
          <w:lang w:val="en-US"/>
        </w:rPr>
      </w:pPr>
    </w:p>
    <w:p w14:paraId="46B9B607" w14:textId="5D890EDF" w:rsidR="006E7264" w:rsidRDefault="006E7264" w:rsidP="00773590">
      <w:pPr>
        <w:rPr>
          <w:b/>
          <w:bCs/>
          <w:lang w:val="en-US"/>
        </w:rPr>
      </w:pPr>
    </w:p>
    <w:p w14:paraId="6E0C632A" w14:textId="6C454082" w:rsidR="006E7264" w:rsidRDefault="006E7264" w:rsidP="00773590">
      <w:pPr>
        <w:rPr>
          <w:b/>
          <w:bCs/>
          <w:lang w:val="en-US"/>
        </w:rPr>
      </w:pPr>
    </w:p>
    <w:p w14:paraId="37C8BDFA" w14:textId="2B2CF850" w:rsidR="006E7264" w:rsidRDefault="006E7264" w:rsidP="00773590">
      <w:pPr>
        <w:rPr>
          <w:b/>
          <w:bCs/>
          <w:lang w:val="en-US"/>
        </w:rPr>
      </w:pPr>
    </w:p>
    <w:p w14:paraId="773EDC64" w14:textId="4199E589" w:rsidR="006E7264" w:rsidRDefault="006E7264" w:rsidP="00773590">
      <w:pPr>
        <w:rPr>
          <w:b/>
          <w:bCs/>
          <w:lang w:val="en-US"/>
        </w:rPr>
      </w:pPr>
    </w:p>
    <w:p w14:paraId="48078053" w14:textId="62D2DBE6" w:rsidR="006E7264" w:rsidRDefault="006E7264" w:rsidP="00773590">
      <w:pPr>
        <w:rPr>
          <w:b/>
          <w:bCs/>
          <w:lang w:val="en-US"/>
        </w:rPr>
      </w:pPr>
    </w:p>
    <w:p w14:paraId="4E4AE809" w14:textId="2AB4872C" w:rsidR="006E7264" w:rsidRDefault="006E7264" w:rsidP="00773590">
      <w:pPr>
        <w:rPr>
          <w:b/>
          <w:bCs/>
          <w:lang w:val="en-US"/>
        </w:rPr>
      </w:pPr>
    </w:p>
    <w:p w14:paraId="6AB27E05" w14:textId="5C997A41" w:rsidR="006E7264" w:rsidRDefault="006E7264" w:rsidP="00773590">
      <w:pPr>
        <w:rPr>
          <w:b/>
          <w:bCs/>
          <w:lang w:val="en-US"/>
        </w:rPr>
      </w:pPr>
    </w:p>
    <w:p w14:paraId="06F3F3CC" w14:textId="57DC86F7" w:rsidR="006E7264" w:rsidRDefault="006E7264" w:rsidP="00773590">
      <w:pPr>
        <w:rPr>
          <w:b/>
          <w:bCs/>
          <w:lang w:val="en-US"/>
        </w:rPr>
      </w:pPr>
    </w:p>
    <w:p w14:paraId="423291DD" w14:textId="2912A6D9" w:rsidR="006E7264" w:rsidRDefault="006E7264" w:rsidP="00773590">
      <w:pPr>
        <w:rPr>
          <w:b/>
          <w:bCs/>
          <w:lang w:val="en-US"/>
        </w:rPr>
      </w:pPr>
    </w:p>
    <w:p w14:paraId="4B97AB52" w14:textId="1494567D" w:rsidR="006E7264" w:rsidRDefault="006E7264" w:rsidP="00773590">
      <w:pPr>
        <w:rPr>
          <w:b/>
          <w:bCs/>
          <w:lang w:val="en-US"/>
        </w:rPr>
      </w:pPr>
    </w:p>
    <w:p w14:paraId="08F60E55" w14:textId="172231C7" w:rsidR="006E7264" w:rsidRDefault="006E7264" w:rsidP="00773590">
      <w:pPr>
        <w:rPr>
          <w:b/>
          <w:bCs/>
          <w:lang w:val="en-US"/>
        </w:rPr>
      </w:pPr>
    </w:p>
    <w:p w14:paraId="15DC5731" w14:textId="5D94ACDD" w:rsidR="006E7264" w:rsidRDefault="006E7264" w:rsidP="006E7264">
      <w:pPr>
        <w:jc w:val="both"/>
        <w:rPr>
          <w:b/>
          <w:sz w:val="24"/>
          <w:szCs w:val="24"/>
        </w:rPr>
      </w:pPr>
      <w:r w:rsidRPr="006E7264">
        <w:rPr>
          <w:b/>
          <w:sz w:val="24"/>
          <w:szCs w:val="24"/>
        </w:rPr>
        <w:lastRenderedPageBreak/>
        <w:t>Responsible Lending Conduct – Release of Movable / Immovable Property Documents on Repayment/ Settlement of Personal Loans</w:t>
      </w:r>
    </w:p>
    <w:p w14:paraId="00955AC3"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RBI/2023-24/60</w:t>
      </w:r>
      <w:r w:rsidRPr="006E7264">
        <w:rPr>
          <w:rFonts w:ascii="Arial" w:eastAsia="Times New Roman" w:hAnsi="Arial" w:cs="Arial"/>
          <w:color w:val="000000"/>
          <w:kern w:val="0"/>
          <w:sz w:val="20"/>
          <w:szCs w:val="20"/>
          <w:lang w:eastAsia="en-IN"/>
          <w14:ligatures w14:val="none"/>
        </w:rPr>
        <w:br/>
        <w:t>DoR.MCS.REC.38/01.01.001/2023-24</w:t>
      </w:r>
    </w:p>
    <w:p w14:paraId="7CC7A02F" w14:textId="77777777" w:rsidR="006E7264" w:rsidRPr="006E7264" w:rsidRDefault="006E7264" w:rsidP="006E7264">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September 13, 2023</w:t>
      </w:r>
    </w:p>
    <w:p w14:paraId="115937DE" w14:textId="77777777" w:rsidR="006E7264" w:rsidRP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All Commercial Banks (including Small Finance Banks</w:t>
      </w:r>
      <w:r w:rsidRPr="006E7264">
        <w:rPr>
          <w:rFonts w:ascii="Arial" w:eastAsia="Times New Roman" w:hAnsi="Arial" w:cs="Arial"/>
          <w:color w:val="000000"/>
          <w:kern w:val="0"/>
          <w:sz w:val="20"/>
          <w:szCs w:val="20"/>
          <w:lang w:eastAsia="en-IN"/>
          <w14:ligatures w14:val="none"/>
        </w:rPr>
        <w:br/>
        <w:t>and Regional Rural Banks, excluding Payments Banks)</w:t>
      </w:r>
      <w:r w:rsidRPr="006E7264">
        <w:rPr>
          <w:rFonts w:ascii="Arial" w:eastAsia="Times New Roman" w:hAnsi="Arial" w:cs="Arial"/>
          <w:color w:val="000000"/>
          <w:kern w:val="0"/>
          <w:sz w:val="20"/>
          <w:szCs w:val="20"/>
          <w:lang w:eastAsia="en-IN"/>
          <w14:ligatures w14:val="none"/>
        </w:rPr>
        <w:br/>
        <w:t>All Local Area Banks</w:t>
      </w:r>
      <w:r w:rsidRPr="006E7264">
        <w:rPr>
          <w:rFonts w:ascii="Arial" w:eastAsia="Times New Roman" w:hAnsi="Arial" w:cs="Arial"/>
          <w:color w:val="000000"/>
          <w:kern w:val="0"/>
          <w:sz w:val="20"/>
          <w:szCs w:val="20"/>
          <w:lang w:eastAsia="en-IN"/>
          <w14:ligatures w14:val="none"/>
        </w:rPr>
        <w:br/>
        <w:t>All Primary (Urban) Co-operative Banks</w:t>
      </w:r>
      <w:r w:rsidRPr="006E7264">
        <w:rPr>
          <w:rFonts w:ascii="Arial" w:eastAsia="Times New Roman" w:hAnsi="Arial" w:cs="Arial"/>
          <w:color w:val="000000"/>
          <w:kern w:val="0"/>
          <w:sz w:val="20"/>
          <w:szCs w:val="20"/>
          <w:lang w:eastAsia="en-IN"/>
          <w14:ligatures w14:val="none"/>
        </w:rPr>
        <w:br/>
        <w:t>All State Co-operative Banks and District Central Co-operative Banks</w:t>
      </w:r>
      <w:r w:rsidRPr="006E7264">
        <w:rPr>
          <w:rFonts w:ascii="Arial" w:eastAsia="Times New Roman" w:hAnsi="Arial" w:cs="Arial"/>
          <w:color w:val="000000"/>
          <w:kern w:val="0"/>
          <w:sz w:val="20"/>
          <w:szCs w:val="20"/>
          <w:lang w:eastAsia="en-IN"/>
          <w14:ligatures w14:val="none"/>
        </w:rPr>
        <w:br/>
        <w:t>All NBFCs (including HFCs)</w:t>
      </w:r>
      <w:r w:rsidRPr="006E7264">
        <w:rPr>
          <w:rFonts w:ascii="Arial" w:eastAsia="Times New Roman" w:hAnsi="Arial" w:cs="Arial"/>
          <w:color w:val="000000"/>
          <w:kern w:val="0"/>
          <w:sz w:val="20"/>
          <w:szCs w:val="20"/>
          <w:lang w:eastAsia="en-IN"/>
          <w14:ligatures w14:val="none"/>
        </w:rPr>
        <w:br/>
        <w:t>All Asset Reconstruction Companies</w:t>
      </w:r>
    </w:p>
    <w:p w14:paraId="26C10A5B"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Madam / Dear Sir,</w:t>
      </w:r>
    </w:p>
    <w:p w14:paraId="56B6FC34" w14:textId="77777777" w:rsidR="006E7264" w:rsidRPr="006E7264" w:rsidRDefault="006E7264" w:rsidP="006E7264">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E7264">
        <w:rPr>
          <w:rFonts w:ascii="Arial" w:eastAsia="Times New Roman" w:hAnsi="Arial" w:cs="Arial"/>
          <w:b/>
          <w:bCs/>
          <w:color w:val="000000"/>
          <w:kern w:val="0"/>
          <w:sz w:val="20"/>
          <w:szCs w:val="20"/>
          <w:lang w:eastAsia="en-IN"/>
          <w14:ligatures w14:val="none"/>
        </w:rPr>
        <w:t>Responsible Lending Conduct – Release of Movable / Immovable Property Documents on Repayment/ Settlement of Personal</w:t>
      </w:r>
      <w:hyperlink r:id="rId4" w:anchor="F1" w:history="1">
        <w:r w:rsidRPr="006E7264">
          <w:rPr>
            <w:rFonts w:ascii="Arial" w:eastAsia="Times New Roman" w:hAnsi="Arial" w:cs="Arial"/>
            <w:b/>
            <w:bCs/>
            <w:color w:val="0000FF"/>
            <w:kern w:val="0"/>
            <w:sz w:val="15"/>
            <w:szCs w:val="15"/>
            <w:u w:val="single"/>
            <w:vertAlign w:val="superscript"/>
            <w:lang w:eastAsia="en-IN"/>
            <w14:ligatures w14:val="none"/>
          </w:rPr>
          <w:t>1</w:t>
        </w:r>
      </w:hyperlink>
      <w:r w:rsidRPr="006E7264">
        <w:rPr>
          <w:rFonts w:ascii="Arial" w:eastAsia="Times New Roman" w:hAnsi="Arial" w:cs="Arial"/>
          <w:b/>
          <w:bCs/>
          <w:color w:val="000000"/>
          <w:kern w:val="0"/>
          <w:sz w:val="20"/>
          <w:szCs w:val="20"/>
          <w:lang w:eastAsia="en-IN"/>
          <w14:ligatures w14:val="none"/>
        </w:rPr>
        <w:t> Loans</w:t>
      </w:r>
    </w:p>
    <w:p w14:paraId="44F64B1B"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In terms of the guidelines on Fair Practices Code issued to various Regulated Entities (REs) since 2003, REs are required to release all movable / immovable property documents upon receiving full repayment and closure of loan account. However, it has been observed that the REs follow divergent practices in release of such movable / immovable property documents leading to customer grievances and disputes. To address the issues faced by the borrowers and towards promoting responsible lending conduct among the REs, the following Directions are being issued:</w:t>
      </w:r>
    </w:p>
    <w:p w14:paraId="37AC1A15" w14:textId="77777777" w:rsidR="006E7264" w:rsidRPr="006E7264" w:rsidRDefault="006E7264" w:rsidP="006E7264">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E7264">
        <w:rPr>
          <w:rFonts w:ascii="Arial" w:eastAsia="Times New Roman" w:hAnsi="Arial" w:cs="Arial"/>
          <w:b/>
          <w:bCs/>
          <w:color w:val="000000"/>
          <w:kern w:val="0"/>
          <w:sz w:val="20"/>
          <w:szCs w:val="20"/>
          <w:lang w:eastAsia="en-IN"/>
          <w14:ligatures w14:val="none"/>
        </w:rPr>
        <w:t>Release of Movable / Immovable Property Documents</w:t>
      </w:r>
    </w:p>
    <w:p w14:paraId="60717836"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2. The REs shall release all the original movable / immovable property documents and remove charges registered with any registry within a period of 30 days after full repayment/ settlement of the loan account.</w:t>
      </w:r>
    </w:p>
    <w:p w14:paraId="7C1D8E9F"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3. The borrower shall be given the option of collecting the original movable / immovable property documents either from the banking outlet / branch where the loan account was serviced or any other office of the RE where the documents are available, as per her / his preference.</w:t>
      </w:r>
    </w:p>
    <w:p w14:paraId="14F57641"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4. The timeline and place of return of original movable / immovable property documents will be mentioned in the loan sanction letters issued on or after the effective date.</w:t>
      </w:r>
    </w:p>
    <w:p w14:paraId="27C66545"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5. In order to address the contingent event of demise of the sole borrower or joint borrowers, the REs shall have a well laid out procedure for return of original movable / immovable property documents to the legal heirs. Such procedure shall be displayed on the website of the REs along with other similar policies and procedures for customer information.</w:t>
      </w:r>
    </w:p>
    <w:p w14:paraId="0127D0C0" w14:textId="77777777" w:rsidR="006E7264" w:rsidRPr="006E7264" w:rsidRDefault="006E7264" w:rsidP="006E7264">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E7264">
        <w:rPr>
          <w:rFonts w:ascii="Arial" w:eastAsia="Times New Roman" w:hAnsi="Arial" w:cs="Arial"/>
          <w:b/>
          <w:bCs/>
          <w:color w:val="000000"/>
          <w:kern w:val="0"/>
          <w:sz w:val="20"/>
          <w:szCs w:val="20"/>
          <w:lang w:eastAsia="en-IN"/>
          <w14:ligatures w14:val="none"/>
        </w:rPr>
        <w:t>Compensation for delay in release of Movable / Immovable Property Documents</w:t>
      </w:r>
    </w:p>
    <w:p w14:paraId="6F801091"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6. In case of delay in releasing of original movable / immovable property documents or failing to file charge satisfaction form with relevant registry beyond 30 days after full repayment/ settlement of loan, the RE shall communicate to the borrower reasons for such delay. In case where the delay is attributable to the RE, it shall compensate the borrower at the rate of ₹5,000/- for each day of delay.</w:t>
      </w:r>
    </w:p>
    <w:p w14:paraId="1F087B12"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 xml:space="preserve">7. In case of loss/damage to original movable / immovable property documents, either in part or in full, the REs shall assist the borrower in obtaining duplicate/certified copies of the movable / immovable property documents and shall bear the associated costs, in addition to paying compensation as </w:t>
      </w:r>
      <w:r w:rsidRPr="006E7264">
        <w:rPr>
          <w:rFonts w:ascii="Arial" w:eastAsia="Times New Roman" w:hAnsi="Arial" w:cs="Arial"/>
          <w:color w:val="000000"/>
          <w:kern w:val="0"/>
          <w:sz w:val="20"/>
          <w:szCs w:val="20"/>
          <w:lang w:eastAsia="en-IN"/>
          <w14:ligatures w14:val="none"/>
        </w:rPr>
        <w:lastRenderedPageBreak/>
        <w:t>indicated at paragraph 6 above. However, in such cases, an additional time of 30 days will be available to the REs to complete this procedure and the delayed period penalty will be calculated thereafter (i.e., after a total period of 60 days).</w:t>
      </w:r>
    </w:p>
    <w:p w14:paraId="2366323D"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8. The compensation provided under these directions shall be without prejudice to the rights of a borrower to get any other compensation as per any applicable law.</w:t>
      </w:r>
    </w:p>
    <w:p w14:paraId="22A219B1" w14:textId="77777777" w:rsidR="006E7264" w:rsidRPr="006E7264" w:rsidRDefault="006E7264" w:rsidP="006E7264">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E7264">
        <w:rPr>
          <w:rFonts w:ascii="Arial" w:eastAsia="Times New Roman" w:hAnsi="Arial" w:cs="Arial"/>
          <w:b/>
          <w:bCs/>
          <w:color w:val="000000"/>
          <w:kern w:val="0"/>
          <w:sz w:val="20"/>
          <w:szCs w:val="20"/>
          <w:lang w:eastAsia="en-IN"/>
          <w14:ligatures w14:val="none"/>
        </w:rPr>
        <w:t>Applicability</w:t>
      </w:r>
    </w:p>
    <w:p w14:paraId="3FC05260"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9. These Directions shall be applicable to all cases where release of original movable / immovable property documents falls due on or after December 1, 2023.</w:t>
      </w:r>
    </w:p>
    <w:p w14:paraId="5024F3C2"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10. The above Directions are issued under sections 21, 35A and 56 of the Banking Regulation Act, 1949, sections 45JA and 45L of the Reserve Bank of India Act, 1934, and section 30A of the National Housing Bank Act, 1987.</w:t>
      </w:r>
    </w:p>
    <w:p w14:paraId="34A82CDF"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Yours faithfully,</w:t>
      </w:r>
    </w:p>
    <w:p w14:paraId="32CE4739" w14:textId="2E8F11E0"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 xml:space="preserve">(Santosh Kumar </w:t>
      </w:r>
      <w:proofErr w:type="spellStart"/>
      <w:r w:rsidRPr="006E7264">
        <w:rPr>
          <w:rFonts w:ascii="Arial" w:eastAsia="Times New Roman" w:hAnsi="Arial" w:cs="Arial"/>
          <w:color w:val="000000"/>
          <w:kern w:val="0"/>
          <w:sz w:val="20"/>
          <w:szCs w:val="20"/>
          <w:lang w:eastAsia="en-IN"/>
          <w14:ligatures w14:val="none"/>
        </w:rPr>
        <w:t>Panigrahy</w:t>
      </w:r>
      <w:proofErr w:type="spellEnd"/>
      <w:r w:rsidRPr="006E7264">
        <w:rPr>
          <w:rFonts w:ascii="Arial" w:eastAsia="Times New Roman" w:hAnsi="Arial" w:cs="Arial"/>
          <w:color w:val="000000"/>
          <w:kern w:val="0"/>
          <w:sz w:val="20"/>
          <w:szCs w:val="20"/>
          <w:lang w:eastAsia="en-IN"/>
          <w14:ligatures w14:val="none"/>
        </w:rPr>
        <w:t>)</w:t>
      </w:r>
      <w:r w:rsidRPr="006E7264">
        <w:rPr>
          <w:rFonts w:ascii="Arial" w:eastAsia="Times New Roman" w:hAnsi="Arial" w:cs="Arial"/>
          <w:color w:val="000000"/>
          <w:kern w:val="0"/>
          <w:sz w:val="20"/>
          <w:szCs w:val="20"/>
          <w:lang w:eastAsia="en-IN"/>
          <w14:ligatures w14:val="none"/>
        </w:rPr>
        <w:br/>
        <w:t>Chief General Manager</w:t>
      </w:r>
    </w:p>
    <w:p w14:paraId="41AD92BF" w14:textId="7A247DDA"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For more details, Kindly refer:</w:t>
      </w:r>
    </w:p>
    <w:p w14:paraId="4276790A" w14:textId="462369D8" w:rsidR="006E7264" w:rsidRDefault="00554B25"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5" w:history="1">
        <w:r w:rsidR="006E7264" w:rsidRPr="000C5B79">
          <w:rPr>
            <w:rStyle w:val="Hyperlink"/>
            <w:rFonts w:ascii="Arial" w:eastAsia="Times New Roman" w:hAnsi="Arial" w:cs="Arial"/>
            <w:kern w:val="0"/>
            <w:sz w:val="20"/>
            <w:szCs w:val="20"/>
            <w:lang w:eastAsia="en-IN"/>
            <w14:ligatures w14:val="none"/>
          </w:rPr>
          <w:t>https://rbi.org.in/Scripts/NotificationUser.aspx?Id=12535&amp;Mode=0</w:t>
        </w:r>
      </w:hyperlink>
    </w:p>
    <w:p w14:paraId="07E5D442" w14:textId="77777777" w:rsidR="006E7264" w:rsidRP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BB87699" w14:textId="57A06506" w:rsidR="006E7264" w:rsidRDefault="006E7264" w:rsidP="006E7264">
      <w:pPr>
        <w:jc w:val="both"/>
        <w:rPr>
          <w:b/>
          <w:bCs/>
          <w:sz w:val="24"/>
          <w:szCs w:val="24"/>
          <w:lang w:val="en-US"/>
        </w:rPr>
      </w:pPr>
    </w:p>
    <w:p w14:paraId="3F50840D" w14:textId="0EE6BDA5" w:rsidR="006E7264" w:rsidRDefault="006E7264" w:rsidP="006E7264">
      <w:pPr>
        <w:jc w:val="both"/>
        <w:rPr>
          <w:b/>
          <w:bCs/>
          <w:sz w:val="24"/>
          <w:szCs w:val="24"/>
          <w:lang w:val="en-US"/>
        </w:rPr>
      </w:pPr>
    </w:p>
    <w:p w14:paraId="45060B07" w14:textId="13E1EC34" w:rsidR="006E7264" w:rsidRDefault="006E7264" w:rsidP="006E7264">
      <w:pPr>
        <w:jc w:val="both"/>
        <w:rPr>
          <w:b/>
          <w:bCs/>
          <w:sz w:val="24"/>
          <w:szCs w:val="24"/>
          <w:lang w:val="en-US"/>
        </w:rPr>
      </w:pPr>
    </w:p>
    <w:p w14:paraId="5D2F4681" w14:textId="79B0A4DE" w:rsidR="006E7264" w:rsidRDefault="006E7264" w:rsidP="006E7264">
      <w:pPr>
        <w:jc w:val="both"/>
        <w:rPr>
          <w:b/>
          <w:bCs/>
          <w:sz w:val="24"/>
          <w:szCs w:val="24"/>
          <w:lang w:val="en-US"/>
        </w:rPr>
      </w:pPr>
    </w:p>
    <w:p w14:paraId="08B1C8F8" w14:textId="2777905C" w:rsidR="006E7264" w:rsidRDefault="006E7264" w:rsidP="006E7264">
      <w:pPr>
        <w:jc w:val="both"/>
        <w:rPr>
          <w:b/>
          <w:bCs/>
          <w:sz w:val="24"/>
          <w:szCs w:val="24"/>
          <w:lang w:val="en-US"/>
        </w:rPr>
      </w:pPr>
    </w:p>
    <w:p w14:paraId="30E9F117" w14:textId="19D2C6C4" w:rsidR="006E7264" w:rsidRDefault="006E7264" w:rsidP="006E7264">
      <w:pPr>
        <w:jc w:val="both"/>
        <w:rPr>
          <w:b/>
          <w:bCs/>
          <w:sz w:val="24"/>
          <w:szCs w:val="24"/>
          <w:lang w:val="en-US"/>
        </w:rPr>
      </w:pPr>
    </w:p>
    <w:p w14:paraId="462004A6" w14:textId="555F3E07" w:rsidR="006E7264" w:rsidRDefault="006E7264" w:rsidP="006E7264">
      <w:pPr>
        <w:jc w:val="both"/>
        <w:rPr>
          <w:b/>
          <w:bCs/>
          <w:sz w:val="24"/>
          <w:szCs w:val="24"/>
          <w:lang w:val="en-US"/>
        </w:rPr>
      </w:pPr>
    </w:p>
    <w:p w14:paraId="41DB77B2" w14:textId="1B8BC9BF" w:rsidR="006E7264" w:rsidRDefault="006E7264" w:rsidP="006E7264">
      <w:pPr>
        <w:jc w:val="both"/>
        <w:rPr>
          <w:b/>
          <w:bCs/>
          <w:sz w:val="24"/>
          <w:szCs w:val="24"/>
          <w:lang w:val="en-US"/>
        </w:rPr>
      </w:pPr>
    </w:p>
    <w:p w14:paraId="5CC7754F" w14:textId="6AEC3821" w:rsidR="006E7264" w:rsidRDefault="006E7264" w:rsidP="006E7264">
      <w:pPr>
        <w:jc w:val="both"/>
        <w:rPr>
          <w:b/>
          <w:bCs/>
          <w:sz w:val="24"/>
          <w:szCs w:val="24"/>
          <w:lang w:val="en-US"/>
        </w:rPr>
      </w:pPr>
    </w:p>
    <w:p w14:paraId="0332416E" w14:textId="3A04BAC1" w:rsidR="006E7264" w:rsidRDefault="006E7264" w:rsidP="006E7264">
      <w:pPr>
        <w:jc w:val="both"/>
        <w:rPr>
          <w:b/>
          <w:bCs/>
          <w:sz w:val="24"/>
          <w:szCs w:val="24"/>
          <w:lang w:val="en-US"/>
        </w:rPr>
      </w:pPr>
    </w:p>
    <w:p w14:paraId="627D54E1" w14:textId="7D2E399D" w:rsidR="006E7264" w:rsidRDefault="006E7264" w:rsidP="006E7264">
      <w:pPr>
        <w:jc w:val="both"/>
        <w:rPr>
          <w:b/>
          <w:bCs/>
          <w:sz w:val="24"/>
          <w:szCs w:val="24"/>
          <w:lang w:val="en-US"/>
        </w:rPr>
      </w:pPr>
    </w:p>
    <w:p w14:paraId="7165423B" w14:textId="54AAB78F" w:rsidR="006E7264" w:rsidRDefault="006E7264" w:rsidP="006E7264">
      <w:pPr>
        <w:jc w:val="both"/>
        <w:rPr>
          <w:b/>
          <w:bCs/>
          <w:sz w:val="24"/>
          <w:szCs w:val="24"/>
          <w:lang w:val="en-US"/>
        </w:rPr>
      </w:pPr>
    </w:p>
    <w:p w14:paraId="3450D8F8" w14:textId="1CA06AC7" w:rsidR="006E7264" w:rsidRDefault="006E7264" w:rsidP="006E7264">
      <w:pPr>
        <w:jc w:val="both"/>
        <w:rPr>
          <w:b/>
          <w:bCs/>
          <w:sz w:val="24"/>
          <w:szCs w:val="24"/>
          <w:lang w:val="en-US"/>
        </w:rPr>
      </w:pPr>
    </w:p>
    <w:p w14:paraId="512D0F1C" w14:textId="48A99590" w:rsidR="006E7264" w:rsidRDefault="006E7264" w:rsidP="006E7264">
      <w:pPr>
        <w:jc w:val="both"/>
        <w:rPr>
          <w:b/>
          <w:bCs/>
          <w:sz w:val="24"/>
          <w:szCs w:val="24"/>
          <w:lang w:val="en-US"/>
        </w:rPr>
      </w:pPr>
    </w:p>
    <w:p w14:paraId="440D20C7" w14:textId="3E77EBEA" w:rsidR="006E7264" w:rsidRDefault="006E7264" w:rsidP="006E7264">
      <w:pPr>
        <w:jc w:val="both"/>
        <w:rPr>
          <w:b/>
          <w:bCs/>
          <w:sz w:val="24"/>
          <w:szCs w:val="24"/>
          <w:lang w:val="en-US"/>
        </w:rPr>
      </w:pPr>
    </w:p>
    <w:p w14:paraId="3C0593A3" w14:textId="54ACA218" w:rsidR="006E7264" w:rsidRPr="006E7264" w:rsidRDefault="006E7264" w:rsidP="006E7264">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6E7264">
        <w:rPr>
          <w:rFonts w:eastAsia="Times New Roman" w:cstheme="minorHAnsi"/>
          <w:b/>
          <w:color w:val="000000"/>
          <w:kern w:val="0"/>
          <w:sz w:val="24"/>
          <w:szCs w:val="24"/>
          <w:lang w:eastAsia="en-IN"/>
          <w14:ligatures w14:val="none"/>
        </w:rPr>
        <w:lastRenderedPageBreak/>
        <w:t xml:space="preserve">PM </w:t>
      </w:r>
      <w:proofErr w:type="spellStart"/>
      <w:r w:rsidRPr="006E7264">
        <w:rPr>
          <w:rFonts w:eastAsia="Times New Roman" w:cstheme="minorHAnsi"/>
          <w:b/>
          <w:color w:val="000000"/>
          <w:kern w:val="0"/>
          <w:sz w:val="24"/>
          <w:szCs w:val="24"/>
          <w:lang w:eastAsia="en-IN"/>
          <w14:ligatures w14:val="none"/>
        </w:rPr>
        <w:t>Vishwakarma</w:t>
      </w:r>
      <w:proofErr w:type="spellEnd"/>
      <w:r w:rsidRPr="006E7264">
        <w:rPr>
          <w:rFonts w:eastAsia="Times New Roman" w:cstheme="minorHAnsi"/>
          <w:b/>
          <w:color w:val="000000"/>
          <w:kern w:val="0"/>
          <w:sz w:val="24"/>
          <w:szCs w:val="24"/>
          <w:lang w:eastAsia="en-IN"/>
          <w14:ligatures w14:val="none"/>
        </w:rPr>
        <w:t xml:space="preserve"> Scheme</w:t>
      </w:r>
    </w:p>
    <w:p w14:paraId="4935B9C0" w14:textId="4A6FBF2A"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RBI/2023-24/61</w:t>
      </w:r>
      <w:r w:rsidRPr="006E7264">
        <w:rPr>
          <w:rFonts w:ascii="Arial" w:eastAsia="Times New Roman" w:hAnsi="Arial" w:cs="Arial"/>
          <w:color w:val="000000"/>
          <w:kern w:val="0"/>
          <w:sz w:val="20"/>
          <w:szCs w:val="20"/>
          <w:lang w:eastAsia="en-IN"/>
          <w14:ligatures w14:val="none"/>
        </w:rPr>
        <w:br/>
        <w:t>FIDD.CO.MSME.BC.No.10/06.02.031/2023-24</w:t>
      </w:r>
    </w:p>
    <w:p w14:paraId="2D23D56A" w14:textId="77777777" w:rsidR="006E7264" w:rsidRPr="006E7264" w:rsidRDefault="006E7264" w:rsidP="006E7264">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September 13, 2023</w:t>
      </w:r>
    </w:p>
    <w:p w14:paraId="52BF151B" w14:textId="77777777" w:rsidR="006E7264" w:rsidRP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The Chairman/ Managing Director/Chief Executive Officer</w:t>
      </w:r>
      <w:r w:rsidRPr="006E7264">
        <w:rPr>
          <w:rFonts w:ascii="Arial" w:eastAsia="Times New Roman" w:hAnsi="Arial" w:cs="Arial"/>
          <w:color w:val="000000"/>
          <w:kern w:val="0"/>
          <w:sz w:val="20"/>
          <w:szCs w:val="20"/>
          <w:lang w:eastAsia="en-IN"/>
          <w14:ligatures w14:val="none"/>
        </w:rPr>
        <w:br/>
        <w:t>All Scheduled Commercial Banks</w:t>
      </w:r>
      <w:r w:rsidRPr="006E7264">
        <w:rPr>
          <w:rFonts w:ascii="Arial" w:eastAsia="Times New Roman" w:hAnsi="Arial" w:cs="Arial"/>
          <w:color w:val="000000"/>
          <w:kern w:val="0"/>
          <w:sz w:val="20"/>
          <w:szCs w:val="20"/>
          <w:lang w:eastAsia="en-IN"/>
          <w14:ligatures w14:val="none"/>
        </w:rPr>
        <w:br/>
        <w:t>(including Small Finance Banks and Regional Rural Banks, excluding Payments Banks)</w:t>
      </w:r>
      <w:r w:rsidRPr="006E7264">
        <w:rPr>
          <w:rFonts w:ascii="Arial" w:eastAsia="Times New Roman" w:hAnsi="Arial" w:cs="Arial"/>
          <w:color w:val="000000"/>
          <w:kern w:val="0"/>
          <w:sz w:val="20"/>
          <w:szCs w:val="20"/>
          <w:lang w:eastAsia="en-IN"/>
          <w14:ligatures w14:val="none"/>
        </w:rPr>
        <w:br/>
        <w:t>All Primary (Urban) Co-operative Banks/State Co-operative Banks</w:t>
      </w:r>
      <w:r w:rsidRPr="006E7264">
        <w:rPr>
          <w:rFonts w:ascii="Arial" w:eastAsia="Times New Roman" w:hAnsi="Arial" w:cs="Arial"/>
          <w:color w:val="000000"/>
          <w:kern w:val="0"/>
          <w:sz w:val="20"/>
          <w:szCs w:val="20"/>
          <w:lang w:eastAsia="en-IN"/>
          <w14:ligatures w14:val="none"/>
        </w:rPr>
        <w:br/>
        <w:t>/ District Central Co-operative Banks</w:t>
      </w:r>
      <w:r w:rsidRPr="006E7264">
        <w:rPr>
          <w:rFonts w:ascii="Arial" w:eastAsia="Times New Roman" w:hAnsi="Arial" w:cs="Arial"/>
          <w:color w:val="000000"/>
          <w:kern w:val="0"/>
          <w:sz w:val="20"/>
          <w:szCs w:val="20"/>
          <w:lang w:eastAsia="en-IN"/>
          <w14:ligatures w14:val="none"/>
        </w:rPr>
        <w:br/>
        <w:t>All Non-Banking Financial Companies (excluding housing finance companies)</w:t>
      </w:r>
    </w:p>
    <w:p w14:paraId="07997F3C"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Madam / Dear Sir,</w:t>
      </w:r>
    </w:p>
    <w:p w14:paraId="26B2CCC8" w14:textId="77777777" w:rsidR="006E7264" w:rsidRPr="006E7264" w:rsidRDefault="006E7264" w:rsidP="006E7264">
      <w:pPr>
        <w:spacing w:before="100" w:beforeAutospacing="1" w:after="100" w:afterAutospacing="1" w:line="240" w:lineRule="auto"/>
        <w:jc w:val="center"/>
        <w:rPr>
          <w:rFonts w:ascii="Arial" w:eastAsia="Times New Roman" w:hAnsi="Arial" w:cs="Arial"/>
          <w:b/>
          <w:bCs/>
          <w:color w:val="000000"/>
          <w:kern w:val="0"/>
          <w:sz w:val="20"/>
          <w:szCs w:val="20"/>
          <w:lang w:eastAsia="en-IN"/>
          <w14:ligatures w14:val="none"/>
        </w:rPr>
      </w:pPr>
      <w:r w:rsidRPr="006E7264">
        <w:rPr>
          <w:rFonts w:ascii="Arial" w:eastAsia="Times New Roman" w:hAnsi="Arial" w:cs="Arial"/>
          <w:b/>
          <w:bCs/>
          <w:color w:val="000000"/>
          <w:kern w:val="0"/>
          <w:sz w:val="20"/>
          <w:szCs w:val="20"/>
          <w:lang w:eastAsia="en-IN"/>
          <w14:ligatures w14:val="none"/>
        </w:rPr>
        <w:t xml:space="preserve">PM </w:t>
      </w:r>
      <w:proofErr w:type="spellStart"/>
      <w:r w:rsidRPr="006E7264">
        <w:rPr>
          <w:rFonts w:ascii="Arial" w:eastAsia="Times New Roman" w:hAnsi="Arial" w:cs="Arial"/>
          <w:b/>
          <w:bCs/>
          <w:color w:val="000000"/>
          <w:kern w:val="0"/>
          <w:sz w:val="20"/>
          <w:szCs w:val="20"/>
          <w:lang w:eastAsia="en-IN"/>
          <w14:ligatures w14:val="none"/>
        </w:rPr>
        <w:t>Vishwakarma</w:t>
      </w:r>
      <w:proofErr w:type="spellEnd"/>
      <w:r w:rsidRPr="006E7264">
        <w:rPr>
          <w:rFonts w:ascii="Arial" w:eastAsia="Times New Roman" w:hAnsi="Arial" w:cs="Arial"/>
          <w:b/>
          <w:bCs/>
          <w:color w:val="000000"/>
          <w:kern w:val="0"/>
          <w:sz w:val="20"/>
          <w:szCs w:val="20"/>
          <w:lang w:eastAsia="en-IN"/>
          <w14:ligatures w14:val="none"/>
        </w:rPr>
        <w:t xml:space="preserve"> Scheme</w:t>
      </w:r>
    </w:p>
    <w:p w14:paraId="3466E009"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 xml:space="preserve">Government of India (GoI) has introduced the ‘PM </w:t>
      </w:r>
      <w:proofErr w:type="spellStart"/>
      <w:r w:rsidRPr="006E7264">
        <w:rPr>
          <w:rFonts w:ascii="Arial" w:eastAsia="Times New Roman" w:hAnsi="Arial" w:cs="Arial"/>
          <w:color w:val="000000"/>
          <w:kern w:val="0"/>
          <w:sz w:val="20"/>
          <w:szCs w:val="20"/>
          <w:lang w:eastAsia="en-IN"/>
          <w14:ligatures w14:val="none"/>
        </w:rPr>
        <w:t>Vishwakarma</w:t>
      </w:r>
      <w:proofErr w:type="spellEnd"/>
      <w:r w:rsidRPr="006E7264">
        <w:rPr>
          <w:rFonts w:ascii="Arial" w:eastAsia="Times New Roman" w:hAnsi="Arial" w:cs="Arial"/>
          <w:color w:val="000000"/>
          <w:kern w:val="0"/>
          <w:sz w:val="20"/>
          <w:szCs w:val="20"/>
          <w:lang w:eastAsia="en-IN"/>
          <w14:ligatures w14:val="none"/>
        </w:rPr>
        <w:t xml:space="preserve"> Scheme’ which aims to provide support to artisans and craftspeople to enable them to move up the value chain in their respective trades. The Scheme envisages, among other measures, credit support to the beneficiaries at concessional interest rate, with interest subvention support by GoI.</w:t>
      </w:r>
    </w:p>
    <w:p w14:paraId="69AD88C4"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2. In this regard, eligible lending institutions may refer to the Scheme </w:t>
      </w:r>
      <w:hyperlink r:id="rId6" w:tgtFrame="_blank" w:history="1">
        <w:r w:rsidRPr="006E7264">
          <w:rPr>
            <w:rFonts w:ascii="Arial" w:eastAsia="Times New Roman" w:hAnsi="Arial" w:cs="Arial"/>
            <w:color w:val="0000FF"/>
            <w:kern w:val="0"/>
            <w:sz w:val="20"/>
            <w:szCs w:val="20"/>
            <w:u w:val="single"/>
            <w:lang w:eastAsia="en-IN"/>
            <w14:ligatures w14:val="none"/>
          </w:rPr>
          <w:t>guidelines</w:t>
        </w:r>
      </w:hyperlink>
      <w:r w:rsidRPr="006E7264">
        <w:rPr>
          <w:rFonts w:ascii="Arial" w:eastAsia="Times New Roman" w:hAnsi="Arial" w:cs="Arial"/>
          <w:color w:val="000000"/>
          <w:kern w:val="0"/>
          <w:sz w:val="20"/>
          <w:szCs w:val="20"/>
          <w:lang w:eastAsia="en-IN"/>
          <w14:ligatures w14:val="none"/>
        </w:rPr>
        <w:t> issued by the Ministry of Micro, Small and Medium Enterprises, for appropriate action.</w:t>
      </w:r>
    </w:p>
    <w:p w14:paraId="4164BCB1"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Yours faithfully,</w:t>
      </w:r>
    </w:p>
    <w:p w14:paraId="50A7A4F2" w14:textId="400C8EED"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w:t>
      </w:r>
      <w:proofErr w:type="spellStart"/>
      <w:r w:rsidRPr="006E7264">
        <w:rPr>
          <w:rFonts w:ascii="Arial" w:eastAsia="Times New Roman" w:hAnsi="Arial" w:cs="Arial"/>
          <w:color w:val="000000"/>
          <w:kern w:val="0"/>
          <w:sz w:val="20"/>
          <w:szCs w:val="20"/>
          <w:lang w:eastAsia="en-IN"/>
          <w14:ligatures w14:val="none"/>
        </w:rPr>
        <w:t>Nisha</w:t>
      </w:r>
      <w:proofErr w:type="spellEnd"/>
      <w:r w:rsidRPr="006E7264">
        <w:rPr>
          <w:rFonts w:ascii="Arial" w:eastAsia="Times New Roman" w:hAnsi="Arial" w:cs="Arial"/>
          <w:color w:val="000000"/>
          <w:kern w:val="0"/>
          <w:sz w:val="20"/>
          <w:szCs w:val="20"/>
          <w:lang w:eastAsia="en-IN"/>
          <w14:ligatures w14:val="none"/>
        </w:rPr>
        <w:t xml:space="preserve"> </w:t>
      </w:r>
      <w:proofErr w:type="spellStart"/>
      <w:r w:rsidRPr="006E7264">
        <w:rPr>
          <w:rFonts w:ascii="Arial" w:eastAsia="Times New Roman" w:hAnsi="Arial" w:cs="Arial"/>
          <w:color w:val="000000"/>
          <w:kern w:val="0"/>
          <w:sz w:val="20"/>
          <w:szCs w:val="20"/>
          <w:lang w:eastAsia="en-IN"/>
          <w14:ligatures w14:val="none"/>
        </w:rPr>
        <w:t>Nambiar</w:t>
      </w:r>
      <w:proofErr w:type="spellEnd"/>
      <w:r w:rsidRPr="006E7264">
        <w:rPr>
          <w:rFonts w:ascii="Arial" w:eastAsia="Times New Roman" w:hAnsi="Arial" w:cs="Arial"/>
          <w:color w:val="000000"/>
          <w:kern w:val="0"/>
          <w:sz w:val="20"/>
          <w:szCs w:val="20"/>
          <w:lang w:eastAsia="en-IN"/>
          <w14:ligatures w14:val="none"/>
        </w:rPr>
        <w:t>)</w:t>
      </w:r>
      <w:r w:rsidRPr="006E7264">
        <w:rPr>
          <w:rFonts w:ascii="Arial" w:eastAsia="Times New Roman" w:hAnsi="Arial" w:cs="Arial"/>
          <w:color w:val="000000"/>
          <w:kern w:val="0"/>
          <w:sz w:val="20"/>
          <w:szCs w:val="20"/>
          <w:lang w:eastAsia="en-IN"/>
          <w14:ligatures w14:val="none"/>
        </w:rPr>
        <w:br/>
        <w:t>Chief General Manager</w:t>
      </w:r>
    </w:p>
    <w:p w14:paraId="3CD3E1BB" w14:textId="3C232C3E"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For more details, Kindly refer:</w:t>
      </w:r>
    </w:p>
    <w:p w14:paraId="1690C0E2" w14:textId="0A837587" w:rsidR="006E7264" w:rsidRDefault="00554B25"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7" w:history="1">
        <w:r w:rsidR="006E7264" w:rsidRPr="000C5B79">
          <w:rPr>
            <w:rStyle w:val="Hyperlink"/>
            <w:rFonts w:ascii="Arial" w:eastAsia="Times New Roman" w:hAnsi="Arial" w:cs="Arial"/>
            <w:kern w:val="0"/>
            <w:sz w:val="20"/>
            <w:szCs w:val="20"/>
            <w:lang w:eastAsia="en-IN"/>
            <w14:ligatures w14:val="none"/>
          </w:rPr>
          <w:t>https://rbi.org.in/Scripts/NotificationUser.aspx?Id=12536&amp;Mode=0</w:t>
        </w:r>
      </w:hyperlink>
    </w:p>
    <w:p w14:paraId="1BAA3678" w14:textId="70406B52"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2621A3A" w14:textId="38952393"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C8285A9" w14:textId="464E7445"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4ACF46AB" w14:textId="0CD6F287"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D22E7CE" w14:textId="2F239D9B"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4622000" w14:textId="43724790"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230358F" w14:textId="5E83650C"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71C85CBE" w14:textId="2E9AC7A1"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2E946D4" w14:textId="4A4EF69A"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03BBFE88" w14:textId="3D1B265B" w:rsid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59B4F9E" w14:textId="3CE32732" w:rsidR="006E7264" w:rsidRPr="006E7264" w:rsidRDefault="006E7264" w:rsidP="006E7264">
      <w:pPr>
        <w:spacing w:before="100" w:beforeAutospacing="1" w:after="100" w:afterAutospacing="1" w:line="240" w:lineRule="auto"/>
        <w:rPr>
          <w:rFonts w:eastAsia="Times New Roman" w:cstheme="minorHAnsi"/>
          <w:b/>
          <w:color w:val="000000"/>
          <w:kern w:val="0"/>
          <w:sz w:val="24"/>
          <w:szCs w:val="24"/>
          <w:lang w:eastAsia="en-IN"/>
          <w14:ligatures w14:val="none"/>
        </w:rPr>
      </w:pPr>
      <w:r w:rsidRPr="006E7264">
        <w:rPr>
          <w:rFonts w:eastAsia="Times New Roman" w:cstheme="minorHAnsi"/>
          <w:b/>
          <w:color w:val="000000"/>
          <w:kern w:val="0"/>
          <w:sz w:val="24"/>
          <w:szCs w:val="24"/>
          <w:lang w:eastAsia="en-IN"/>
          <w14:ligatures w14:val="none"/>
        </w:rPr>
        <w:lastRenderedPageBreak/>
        <w:t>Display of information - Secured assets possessed under the SARFAESI Act, 2002</w:t>
      </w:r>
    </w:p>
    <w:p w14:paraId="62173C85"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RBI/2023-24/63</w:t>
      </w:r>
      <w:r w:rsidRPr="006E7264">
        <w:rPr>
          <w:rFonts w:ascii="Arial" w:eastAsia="Times New Roman" w:hAnsi="Arial" w:cs="Arial"/>
          <w:color w:val="000000"/>
          <w:kern w:val="0"/>
          <w:sz w:val="20"/>
          <w:szCs w:val="20"/>
          <w:lang w:eastAsia="en-IN"/>
          <w14:ligatures w14:val="none"/>
        </w:rPr>
        <w:br/>
        <w:t>DoR.FIN.REC.41/20.16.003/2023-24</w:t>
      </w:r>
    </w:p>
    <w:p w14:paraId="3079A218" w14:textId="77777777" w:rsidR="006E7264" w:rsidRPr="006E7264" w:rsidRDefault="006E7264" w:rsidP="006E7264">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September 25, 2023</w:t>
      </w:r>
    </w:p>
    <w:p w14:paraId="454C3C26" w14:textId="77777777" w:rsidR="006E7264" w:rsidRP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All Commercial Banks including Small Finance Banks, Local Area Banks and Regional Rural Banks and excluding Payment Banks</w:t>
      </w:r>
      <w:r w:rsidRPr="006E7264">
        <w:rPr>
          <w:rFonts w:ascii="Arial" w:eastAsia="Times New Roman" w:hAnsi="Arial" w:cs="Arial"/>
          <w:color w:val="000000"/>
          <w:kern w:val="0"/>
          <w:sz w:val="20"/>
          <w:szCs w:val="20"/>
          <w:lang w:eastAsia="en-IN"/>
          <w14:ligatures w14:val="none"/>
        </w:rPr>
        <w:br/>
        <w:t>All Primary (Urban) Co-operative Banks/ State Co-operative Banks/ Central Co-operative Banks</w:t>
      </w:r>
      <w:r w:rsidRPr="006E7264">
        <w:rPr>
          <w:rFonts w:ascii="Arial" w:eastAsia="Times New Roman" w:hAnsi="Arial" w:cs="Arial"/>
          <w:color w:val="000000"/>
          <w:kern w:val="0"/>
          <w:sz w:val="20"/>
          <w:szCs w:val="20"/>
          <w:lang w:eastAsia="en-IN"/>
          <w14:ligatures w14:val="none"/>
        </w:rPr>
        <w:br/>
        <w:t xml:space="preserve">All India Financial Institutions (Exim Bank, NABARD, NHB, SIDBI and </w:t>
      </w:r>
      <w:proofErr w:type="spellStart"/>
      <w:r w:rsidRPr="006E7264">
        <w:rPr>
          <w:rFonts w:ascii="Arial" w:eastAsia="Times New Roman" w:hAnsi="Arial" w:cs="Arial"/>
          <w:color w:val="000000"/>
          <w:kern w:val="0"/>
          <w:sz w:val="20"/>
          <w:szCs w:val="20"/>
          <w:lang w:eastAsia="en-IN"/>
          <w14:ligatures w14:val="none"/>
        </w:rPr>
        <w:t>NaBFID</w:t>
      </w:r>
      <w:proofErr w:type="spellEnd"/>
      <w:r w:rsidRPr="006E7264">
        <w:rPr>
          <w:rFonts w:ascii="Arial" w:eastAsia="Times New Roman" w:hAnsi="Arial" w:cs="Arial"/>
          <w:color w:val="000000"/>
          <w:kern w:val="0"/>
          <w:sz w:val="20"/>
          <w:szCs w:val="20"/>
          <w:lang w:eastAsia="en-IN"/>
          <w14:ligatures w14:val="none"/>
        </w:rPr>
        <w:t>)</w:t>
      </w:r>
      <w:r w:rsidRPr="006E7264">
        <w:rPr>
          <w:rFonts w:ascii="Arial" w:eastAsia="Times New Roman" w:hAnsi="Arial" w:cs="Arial"/>
          <w:color w:val="000000"/>
          <w:kern w:val="0"/>
          <w:sz w:val="20"/>
          <w:szCs w:val="20"/>
          <w:lang w:eastAsia="en-IN"/>
          <w14:ligatures w14:val="none"/>
        </w:rPr>
        <w:br/>
        <w:t>All Non-Banking Financial Companies including Housing Finance Companies</w:t>
      </w:r>
      <w:r w:rsidRPr="006E7264">
        <w:rPr>
          <w:rFonts w:ascii="Arial" w:eastAsia="Times New Roman" w:hAnsi="Arial" w:cs="Arial"/>
          <w:color w:val="000000"/>
          <w:kern w:val="0"/>
          <w:sz w:val="20"/>
          <w:szCs w:val="20"/>
          <w:lang w:eastAsia="en-IN"/>
          <w14:ligatures w14:val="none"/>
        </w:rPr>
        <w:br/>
        <w:t>All Asset Reconstruction Companies</w:t>
      </w:r>
    </w:p>
    <w:p w14:paraId="18AC57F2"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Dear Sir/ Madam</w:t>
      </w:r>
    </w:p>
    <w:p w14:paraId="26B6A619" w14:textId="77777777" w:rsidR="006E7264" w:rsidRPr="006E7264" w:rsidRDefault="006E7264" w:rsidP="006E7264">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6E7264">
        <w:rPr>
          <w:rFonts w:ascii="Arial" w:eastAsia="Times New Roman" w:hAnsi="Arial" w:cs="Arial"/>
          <w:b/>
          <w:bCs/>
          <w:color w:val="000000"/>
          <w:kern w:val="0"/>
          <w:sz w:val="20"/>
          <w:szCs w:val="20"/>
          <w:lang w:eastAsia="en-IN"/>
          <w14:ligatures w14:val="none"/>
        </w:rPr>
        <w:t>Display of information - Secured assets possessed under the SARFAESI Act, 2002</w:t>
      </w:r>
    </w:p>
    <w:p w14:paraId="480ED5FD"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As a part of the move towards greater transparency, it has been decided that the Regulated Entities (REs) of the Reserve Bank which are secured creditors as per the Securitisation and Reconstruction of Financial Assets and Enforcement of Security Interest (SARFAESI) Act, 2002, shall display information in respect of the borrowers whose secured assets have been taken into possession by the REs under the Act.</w:t>
      </w:r>
    </w:p>
    <w:p w14:paraId="7C341AA1"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2. REs shall upload this information on their website in the format as prescribed in the </w:t>
      </w:r>
      <w:hyperlink r:id="rId8" w:anchor="AN1" w:history="1">
        <w:r w:rsidRPr="006E7264">
          <w:rPr>
            <w:rFonts w:ascii="Arial" w:eastAsia="Times New Roman" w:hAnsi="Arial" w:cs="Arial"/>
            <w:color w:val="0000FF"/>
            <w:kern w:val="0"/>
            <w:sz w:val="20"/>
            <w:szCs w:val="20"/>
            <w:u w:val="single"/>
            <w:lang w:eastAsia="en-IN"/>
            <w14:ligatures w14:val="none"/>
          </w:rPr>
          <w:t>Annex</w:t>
        </w:r>
      </w:hyperlink>
      <w:r w:rsidRPr="006E7264">
        <w:rPr>
          <w:rFonts w:ascii="Arial" w:eastAsia="Times New Roman" w:hAnsi="Arial" w:cs="Arial"/>
          <w:color w:val="000000"/>
          <w:kern w:val="0"/>
          <w:sz w:val="20"/>
          <w:szCs w:val="20"/>
          <w:lang w:eastAsia="en-IN"/>
          <w14:ligatures w14:val="none"/>
        </w:rPr>
        <w:t>. The first such list shall be displayed on the website of REs within six (6) months from the date of this circular, and the list shall be updated on monthly basis.</w:t>
      </w:r>
    </w:p>
    <w:p w14:paraId="75EE9CE1"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Yours faithfully,</w:t>
      </w:r>
    </w:p>
    <w:p w14:paraId="5E055075" w14:textId="77777777" w:rsidR="006E7264" w:rsidRP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(J.P. Sharma)</w:t>
      </w:r>
      <w:r w:rsidRPr="006E7264">
        <w:rPr>
          <w:rFonts w:ascii="Arial" w:eastAsia="Times New Roman" w:hAnsi="Arial" w:cs="Arial"/>
          <w:color w:val="000000"/>
          <w:kern w:val="0"/>
          <w:sz w:val="20"/>
          <w:szCs w:val="20"/>
          <w:lang w:eastAsia="en-IN"/>
          <w14:ligatures w14:val="none"/>
        </w:rPr>
        <w:br/>
        <w:t>Chief General Manager</w:t>
      </w:r>
    </w:p>
    <w:p w14:paraId="0CEC87ED" w14:textId="44DF3AA0" w:rsid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6E7264">
        <w:rPr>
          <w:rFonts w:ascii="Arial" w:eastAsia="Times New Roman" w:hAnsi="Arial" w:cs="Arial"/>
          <w:color w:val="000000"/>
          <w:kern w:val="0"/>
          <w:sz w:val="20"/>
          <w:szCs w:val="20"/>
          <w:lang w:eastAsia="en-IN"/>
          <w14:ligatures w14:val="none"/>
        </w:rPr>
        <w:t>Encl</w:t>
      </w:r>
      <w:proofErr w:type="spellEnd"/>
      <w:r w:rsidRPr="006E7264">
        <w:rPr>
          <w:rFonts w:ascii="Arial" w:eastAsia="Times New Roman" w:hAnsi="Arial" w:cs="Arial"/>
          <w:color w:val="000000"/>
          <w:kern w:val="0"/>
          <w:sz w:val="20"/>
          <w:szCs w:val="20"/>
          <w:lang w:eastAsia="en-IN"/>
          <w14:ligatures w14:val="none"/>
        </w:rPr>
        <w:t>: Annex</w:t>
      </w:r>
    </w:p>
    <w:p w14:paraId="42D8E1FE" w14:textId="7AFCE503" w:rsid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6E7264">
        <w:rPr>
          <w:rFonts w:ascii="Arial" w:eastAsia="Times New Roman" w:hAnsi="Arial" w:cs="Arial"/>
          <w:color w:val="000000"/>
          <w:kern w:val="0"/>
          <w:sz w:val="20"/>
          <w:szCs w:val="20"/>
          <w:lang w:eastAsia="en-IN"/>
          <w14:ligatures w14:val="none"/>
        </w:rPr>
        <w:t>For more details, Kindly refer:</w:t>
      </w:r>
    </w:p>
    <w:p w14:paraId="059D8A9B" w14:textId="7F935E5E" w:rsidR="006E7264" w:rsidRDefault="00554B25"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9" w:history="1">
        <w:r w:rsidR="006E7264" w:rsidRPr="000C5B79">
          <w:rPr>
            <w:rStyle w:val="Hyperlink"/>
            <w:rFonts w:ascii="Arial" w:eastAsia="Times New Roman" w:hAnsi="Arial" w:cs="Arial"/>
            <w:kern w:val="0"/>
            <w:sz w:val="20"/>
            <w:szCs w:val="20"/>
            <w:lang w:eastAsia="en-IN"/>
            <w14:ligatures w14:val="none"/>
          </w:rPr>
          <w:t>https://rbi.org.in/Scripts/NotificationUser.aspx?Id=12539&amp;Mode=0</w:t>
        </w:r>
      </w:hyperlink>
    </w:p>
    <w:p w14:paraId="38E99DB7" w14:textId="77777777" w:rsidR="006E7264" w:rsidRPr="006E7264" w:rsidRDefault="006E7264" w:rsidP="006E7264">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35FC3893" w14:textId="77777777" w:rsidR="006E7264" w:rsidRPr="006E7264" w:rsidRDefault="006E7264" w:rsidP="006E7264">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9A24940" w14:textId="77777777" w:rsidR="006E7264" w:rsidRPr="006E7264" w:rsidRDefault="006E7264" w:rsidP="006E7264">
      <w:pPr>
        <w:jc w:val="both"/>
        <w:rPr>
          <w:b/>
          <w:bCs/>
          <w:sz w:val="24"/>
          <w:szCs w:val="24"/>
          <w:lang w:val="en-US"/>
        </w:rPr>
      </w:pPr>
    </w:p>
    <w:p w14:paraId="22D48CAE" w14:textId="77777777" w:rsidR="0008128F" w:rsidRDefault="0008128F" w:rsidP="00773590">
      <w:pPr>
        <w:rPr>
          <w:b/>
          <w:bCs/>
          <w:lang w:val="en-US"/>
        </w:rPr>
      </w:pPr>
    </w:p>
    <w:p w14:paraId="755FE342" w14:textId="77777777" w:rsidR="0008128F" w:rsidRDefault="0008128F" w:rsidP="00773590">
      <w:pPr>
        <w:rPr>
          <w:b/>
          <w:bCs/>
          <w:lang w:val="en-US"/>
        </w:rPr>
      </w:pPr>
    </w:p>
    <w:p w14:paraId="2514A861" w14:textId="77777777" w:rsidR="0008128F" w:rsidRDefault="0008128F" w:rsidP="00773590">
      <w:pPr>
        <w:rPr>
          <w:b/>
          <w:bCs/>
          <w:lang w:val="en-US"/>
        </w:rPr>
      </w:pPr>
    </w:p>
    <w:p w14:paraId="3537A684" w14:textId="77777777" w:rsidR="0008128F" w:rsidRDefault="0008128F" w:rsidP="00773590">
      <w:pPr>
        <w:rPr>
          <w:b/>
          <w:bCs/>
          <w:lang w:val="en-US"/>
        </w:rPr>
      </w:pPr>
    </w:p>
    <w:p w14:paraId="0242BD6D" w14:textId="77777777" w:rsidR="0008128F" w:rsidRDefault="0008128F" w:rsidP="00773590">
      <w:pPr>
        <w:rPr>
          <w:b/>
          <w:bCs/>
          <w:lang w:val="en-US"/>
        </w:rPr>
      </w:pPr>
    </w:p>
    <w:p w14:paraId="341B8CCB" w14:textId="64FD0E07" w:rsidR="0008128F" w:rsidRDefault="0008128F" w:rsidP="00773590">
      <w:pPr>
        <w:rPr>
          <w:b/>
          <w:bCs/>
          <w:lang w:val="en-US"/>
        </w:rPr>
      </w:pPr>
    </w:p>
    <w:sectPr w:rsidR="00081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A75"/>
    <w:rsid w:val="0008128F"/>
    <w:rsid w:val="001C3B05"/>
    <w:rsid w:val="001F0A2C"/>
    <w:rsid w:val="004748EB"/>
    <w:rsid w:val="00554B25"/>
    <w:rsid w:val="00632A7D"/>
    <w:rsid w:val="00696B32"/>
    <w:rsid w:val="006E7264"/>
    <w:rsid w:val="00773590"/>
    <w:rsid w:val="00CA0BE2"/>
    <w:rsid w:val="00D350BB"/>
    <w:rsid w:val="00E96A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9580"/>
  <w15:chartTrackingRefBased/>
  <w15:docId w15:val="{F1624E72-BD72-4657-B81C-04A3935A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128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08128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081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7170">
      <w:bodyDiv w:val="1"/>
      <w:marLeft w:val="0"/>
      <w:marRight w:val="0"/>
      <w:marTop w:val="0"/>
      <w:marBottom w:val="0"/>
      <w:divBdr>
        <w:top w:val="none" w:sz="0" w:space="0" w:color="auto"/>
        <w:left w:val="none" w:sz="0" w:space="0" w:color="auto"/>
        <w:bottom w:val="none" w:sz="0" w:space="0" w:color="auto"/>
        <w:right w:val="none" w:sz="0" w:space="0" w:color="auto"/>
      </w:divBdr>
    </w:div>
    <w:div w:id="1180851050">
      <w:bodyDiv w:val="1"/>
      <w:marLeft w:val="0"/>
      <w:marRight w:val="0"/>
      <w:marTop w:val="0"/>
      <w:marBottom w:val="0"/>
      <w:divBdr>
        <w:top w:val="none" w:sz="0" w:space="0" w:color="auto"/>
        <w:left w:val="none" w:sz="0" w:space="0" w:color="auto"/>
        <w:bottom w:val="none" w:sz="0" w:space="0" w:color="auto"/>
        <w:right w:val="none" w:sz="0" w:space="0" w:color="auto"/>
      </w:divBdr>
    </w:div>
    <w:div w:id="1218392178">
      <w:bodyDiv w:val="1"/>
      <w:marLeft w:val="0"/>
      <w:marRight w:val="0"/>
      <w:marTop w:val="0"/>
      <w:marBottom w:val="0"/>
      <w:divBdr>
        <w:top w:val="none" w:sz="0" w:space="0" w:color="auto"/>
        <w:left w:val="none" w:sz="0" w:space="0" w:color="auto"/>
        <w:bottom w:val="none" w:sz="0" w:space="0" w:color="auto"/>
        <w:right w:val="none" w:sz="0" w:space="0" w:color="auto"/>
      </w:divBdr>
    </w:div>
    <w:div w:id="20026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539&amp;Mode=0" TargetMode="External"/><Relationship Id="rId3" Type="http://schemas.openxmlformats.org/officeDocument/2006/relationships/webSettings" Target="webSettings.xml"/><Relationship Id="rId7" Type="http://schemas.openxmlformats.org/officeDocument/2006/relationships/hyperlink" Target="https://rbi.org.in/Scripts/NotificationUser.aspx?Id=12536&amp;Mod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mvishwakarma.gov.in/FileHandling/ViewFile/MiscFiles%5CPM%20Vishwakarma-Guidelines.pdf" TargetMode="External"/><Relationship Id="rId11" Type="http://schemas.openxmlformats.org/officeDocument/2006/relationships/theme" Target="theme/theme1.xml"/><Relationship Id="rId5" Type="http://schemas.openxmlformats.org/officeDocument/2006/relationships/hyperlink" Target="https://rbi.org.in/Scripts/NotificationUser.aspx?Id=12535&amp;Mode=0" TargetMode="External"/><Relationship Id="rId10" Type="http://schemas.openxmlformats.org/officeDocument/2006/relationships/fontTable" Target="fontTable.xml"/><Relationship Id="rId4" Type="http://schemas.openxmlformats.org/officeDocument/2006/relationships/hyperlink" Target="https://rbi.org.in/Scripts/NotificationUser.aspx?Id=12535&amp;Mode=0" TargetMode="External"/><Relationship Id="rId9" Type="http://schemas.openxmlformats.org/officeDocument/2006/relationships/hyperlink" Target="https://rbi.org.in/Scripts/NotificationUser.aspx?Id=1253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2</cp:revision>
  <dcterms:created xsi:type="dcterms:W3CDTF">2024-01-19T10:05:00Z</dcterms:created>
  <dcterms:modified xsi:type="dcterms:W3CDTF">2024-01-19T10:05:00Z</dcterms:modified>
</cp:coreProperties>
</file>